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0E20D4">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bl>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00A34438">
        <w:t>____ передаем</w:t>
      </w:r>
      <w:r w:rsidRPr="00C90A07">
        <w:rPr>
          <w:i/>
          <w:iCs/>
        </w:rPr>
        <w:t>:</w:t>
      </w:r>
    </w:p>
    <w:tbl>
      <w:tblPr>
        <w:tblW w:w="4068" w:type="pct"/>
        <w:tblBorders>
          <w:top w:val="single" w:sz="4" w:space="0" w:color="auto"/>
          <w:left w:val="single" w:sz="4" w:space="0" w:color="auto"/>
          <w:bottom w:val="single" w:sz="4" w:space="0" w:color="auto"/>
          <w:right w:val="single" w:sz="4" w:space="0" w:color="auto"/>
        </w:tblBorders>
        <w:tblLook w:val="0000"/>
      </w:tblPr>
      <w:tblGrid>
        <w:gridCol w:w="539"/>
        <w:gridCol w:w="1704"/>
        <w:gridCol w:w="1703"/>
        <w:gridCol w:w="1878"/>
        <w:gridCol w:w="873"/>
        <w:gridCol w:w="692"/>
        <w:gridCol w:w="1314"/>
        <w:gridCol w:w="1314"/>
        <w:gridCol w:w="828"/>
      </w:tblGrid>
      <w:tr w:rsidR="00330DB8" w:rsidRPr="00C90A07" w:rsidTr="00330DB8">
        <w:trPr>
          <w:trHeight w:val="835"/>
        </w:trPr>
        <w:tc>
          <w:tcPr>
            <w:tcW w:w="262" w:type="pct"/>
            <w:tcBorders>
              <w:top w:val="single" w:sz="4" w:space="0" w:color="auto"/>
              <w:bottom w:val="single" w:sz="4" w:space="0" w:color="auto"/>
              <w:right w:val="single" w:sz="4" w:space="0" w:color="auto"/>
            </w:tcBorders>
            <w:vAlign w:val="center"/>
          </w:tcPr>
          <w:p w:rsidR="00330DB8" w:rsidRPr="00C90A07" w:rsidRDefault="00330DB8" w:rsidP="004F7526">
            <w:pPr>
              <w:jc w:val="center"/>
            </w:pPr>
            <w:r w:rsidRPr="00C90A07">
              <w:t>№</w:t>
            </w:r>
          </w:p>
          <w:p w:rsidR="00330DB8" w:rsidRPr="00C90A07" w:rsidRDefault="00330DB8"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74" w:type="pct"/>
            <w:tcBorders>
              <w:top w:val="single" w:sz="4" w:space="0" w:color="auto"/>
              <w:left w:val="single" w:sz="4" w:space="0" w:color="auto"/>
              <w:bottom w:val="single" w:sz="4" w:space="0" w:color="auto"/>
              <w:right w:val="single" w:sz="4" w:space="0" w:color="auto"/>
            </w:tcBorders>
            <w:vAlign w:val="center"/>
          </w:tcPr>
          <w:p w:rsidR="00330DB8" w:rsidRPr="00C90A07" w:rsidRDefault="00330DB8" w:rsidP="00C362A2">
            <w:pPr>
              <w:jc w:val="center"/>
            </w:pPr>
            <w:proofErr w:type="gramStart"/>
            <w:r w:rsidRPr="00C90A07">
              <w:t>Наименование</w:t>
            </w:r>
            <w:proofErr w:type="gramEnd"/>
            <w:r w:rsidRPr="00C90A07">
              <w:t xml:space="preserve"> </w:t>
            </w:r>
            <w:r>
              <w:t xml:space="preserve">предлагаемое </w:t>
            </w:r>
            <w:r w:rsidRPr="00C90A07">
              <w:t>заказчик</w:t>
            </w:r>
            <w:r>
              <w:t>ом</w:t>
            </w:r>
          </w:p>
        </w:tc>
        <w:tc>
          <w:tcPr>
            <w:tcW w:w="774" w:type="pct"/>
            <w:tcBorders>
              <w:top w:val="single" w:sz="4" w:space="0" w:color="auto"/>
              <w:left w:val="single" w:sz="4" w:space="0" w:color="auto"/>
              <w:bottom w:val="single" w:sz="4" w:space="0" w:color="auto"/>
              <w:right w:val="single" w:sz="4" w:space="0" w:color="auto"/>
            </w:tcBorders>
            <w:vAlign w:val="center"/>
          </w:tcPr>
          <w:p w:rsidR="00330DB8" w:rsidRPr="00C90A07" w:rsidRDefault="00330DB8" w:rsidP="005674E4">
            <w:pPr>
              <w:jc w:val="center"/>
            </w:pPr>
            <w:proofErr w:type="gramStart"/>
            <w:r>
              <w:t>Наименование</w:t>
            </w:r>
            <w:proofErr w:type="gramEnd"/>
            <w:r>
              <w:t xml:space="preserve"> п</w:t>
            </w:r>
            <w:r w:rsidRPr="00C90A07">
              <w:t xml:space="preserve">редлагаемое </w:t>
            </w:r>
            <w:r>
              <w:t>участником</w:t>
            </w:r>
          </w:p>
        </w:tc>
        <w:tc>
          <w:tcPr>
            <w:tcW w:w="851" w:type="pct"/>
            <w:tcBorders>
              <w:top w:val="single" w:sz="4" w:space="0" w:color="auto"/>
              <w:left w:val="single" w:sz="4" w:space="0" w:color="auto"/>
              <w:bottom w:val="single" w:sz="4" w:space="0" w:color="auto"/>
              <w:right w:val="single" w:sz="4" w:space="0" w:color="auto"/>
            </w:tcBorders>
            <w:vAlign w:val="center"/>
          </w:tcPr>
          <w:p w:rsidR="00330DB8" w:rsidRPr="00C90A07" w:rsidRDefault="00330DB8" w:rsidP="004F7526">
            <w:pPr>
              <w:jc w:val="center"/>
            </w:pPr>
            <w:r w:rsidRPr="00C90A07">
              <w:t>Описание, характеристики, размеры, объемные показатели</w:t>
            </w:r>
          </w:p>
        </w:tc>
        <w:tc>
          <w:tcPr>
            <w:tcW w:w="410" w:type="pct"/>
            <w:tcBorders>
              <w:top w:val="single" w:sz="4" w:space="0" w:color="auto"/>
              <w:left w:val="single" w:sz="4" w:space="0" w:color="auto"/>
              <w:bottom w:val="single" w:sz="4" w:space="0" w:color="auto"/>
              <w:right w:val="single" w:sz="4" w:space="0" w:color="auto"/>
            </w:tcBorders>
            <w:vAlign w:val="center"/>
          </w:tcPr>
          <w:p w:rsidR="00330DB8" w:rsidRPr="00C90A07" w:rsidRDefault="00330DB8" w:rsidP="004F7526">
            <w:pPr>
              <w:jc w:val="center"/>
            </w:pPr>
            <w:r w:rsidRPr="00C90A07">
              <w:t>Ед.</w:t>
            </w:r>
          </w:p>
          <w:p w:rsidR="00330DB8" w:rsidRPr="00C90A07" w:rsidRDefault="00330DB8" w:rsidP="004F7526">
            <w:pPr>
              <w:jc w:val="center"/>
            </w:pPr>
            <w:proofErr w:type="spellStart"/>
            <w:r w:rsidRPr="00C90A07">
              <w:t>измер</w:t>
            </w:r>
            <w:proofErr w:type="spellEnd"/>
            <w:r w:rsidRPr="00C90A07">
              <w:t>.</w:t>
            </w:r>
          </w:p>
        </w:tc>
        <w:tc>
          <w:tcPr>
            <w:tcW w:w="331" w:type="pct"/>
            <w:tcBorders>
              <w:top w:val="single" w:sz="4" w:space="0" w:color="auto"/>
              <w:left w:val="single" w:sz="4" w:space="0" w:color="auto"/>
              <w:bottom w:val="single" w:sz="4" w:space="0" w:color="auto"/>
              <w:right w:val="single" w:sz="4" w:space="0" w:color="auto"/>
            </w:tcBorders>
            <w:vAlign w:val="center"/>
          </w:tcPr>
          <w:p w:rsidR="00330DB8" w:rsidRPr="00C90A07" w:rsidRDefault="00330DB8" w:rsidP="004F7526">
            <w:pPr>
              <w:jc w:val="center"/>
            </w:pPr>
            <w:r w:rsidRPr="00C90A07">
              <w:t>Кол-во</w:t>
            </w:r>
          </w:p>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330DB8" w:rsidRPr="00C90A07" w:rsidRDefault="00330DB8" w:rsidP="004F7526">
            <w:pPr>
              <w:jc w:val="center"/>
            </w:pPr>
            <w:r w:rsidRPr="00C90A07">
              <w:t>Стоимость без НДС</w:t>
            </w:r>
          </w:p>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330DB8" w:rsidRPr="00C90A07" w:rsidRDefault="00330DB8" w:rsidP="004F7526">
            <w:pPr>
              <w:jc w:val="center"/>
            </w:pPr>
            <w:r w:rsidRPr="00C90A07">
              <w:t>Стоимость с НДС</w:t>
            </w:r>
          </w:p>
        </w:tc>
        <w:tc>
          <w:tcPr>
            <w:tcW w:w="390" w:type="pct"/>
            <w:tcBorders>
              <w:top w:val="single" w:sz="4" w:space="0" w:color="auto"/>
              <w:left w:val="single" w:sz="4" w:space="0" w:color="auto"/>
              <w:bottom w:val="single" w:sz="4" w:space="0" w:color="auto"/>
            </w:tcBorders>
            <w:vAlign w:val="center"/>
          </w:tcPr>
          <w:p w:rsidR="00330DB8" w:rsidRPr="00C90A07" w:rsidRDefault="00330DB8" w:rsidP="004F7526">
            <w:pPr>
              <w:jc w:val="center"/>
            </w:pPr>
            <w:r w:rsidRPr="00C90A07">
              <w:t>Итого</w:t>
            </w:r>
          </w:p>
        </w:tc>
      </w:tr>
      <w:tr w:rsidR="00330DB8" w:rsidRPr="00C90A07" w:rsidTr="00330DB8">
        <w:trPr>
          <w:trHeight w:val="305"/>
        </w:trPr>
        <w:tc>
          <w:tcPr>
            <w:tcW w:w="262" w:type="pct"/>
            <w:tcBorders>
              <w:top w:val="single" w:sz="4" w:space="0" w:color="auto"/>
              <w:bottom w:val="single" w:sz="4" w:space="0" w:color="auto"/>
              <w:right w:val="single" w:sz="4" w:space="0" w:color="auto"/>
            </w:tcBorders>
          </w:tcPr>
          <w:p w:rsidR="00330DB8" w:rsidRPr="00C90A07" w:rsidRDefault="00330DB8" w:rsidP="004F7526"/>
        </w:tc>
        <w:tc>
          <w:tcPr>
            <w:tcW w:w="774" w:type="pct"/>
            <w:tcBorders>
              <w:top w:val="single" w:sz="4" w:space="0" w:color="auto"/>
              <w:left w:val="single" w:sz="4" w:space="0" w:color="auto"/>
              <w:bottom w:val="single" w:sz="4" w:space="0" w:color="auto"/>
              <w:right w:val="single" w:sz="4" w:space="0" w:color="auto"/>
            </w:tcBorders>
            <w:vAlign w:val="center"/>
          </w:tcPr>
          <w:p w:rsidR="00330DB8" w:rsidRPr="00C90A07" w:rsidRDefault="00330DB8" w:rsidP="004F7526">
            <w:pPr>
              <w:jc w:val="center"/>
            </w:pPr>
          </w:p>
        </w:tc>
        <w:tc>
          <w:tcPr>
            <w:tcW w:w="774" w:type="pct"/>
            <w:tcBorders>
              <w:top w:val="single" w:sz="4" w:space="0" w:color="auto"/>
              <w:left w:val="single" w:sz="4" w:space="0" w:color="auto"/>
              <w:bottom w:val="single" w:sz="4" w:space="0" w:color="auto"/>
              <w:right w:val="single" w:sz="4" w:space="0" w:color="auto"/>
            </w:tcBorders>
            <w:vAlign w:val="center"/>
          </w:tcPr>
          <w:p w:rsidR="00330DB8" w:rsidRPr="00C90A07" w:rsidRDefault="00330DB8" w:rsidP="004F7526">
            <w:pPr>
              <w:jc w:val="center"/>
            </w:pPr>
          </w:p>
        </w:tc>
        <w:tc>
          <w:tcPr>
            <w:tcW w:w="851"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410"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331"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390" w:type="pct"/>
            <w:tcBorders>
              <w:top w:val="single" w:sz="4" w:space="0" w:color="auto"/>
              <w:left w:val="single" w:sz="4" w:space="0" w:color="auto"/>
              <w:bottom w:val="single" w:sz="4" w:space="0" w:color="auto"/>
            </w:tcBorders>
          </w:tcPr>
          <w:p w:rsidR="00330DB8" w:rsidRPr="00C90A07" w:rsidRDefault="00330DB8" w:rsidP="004F7526">
            <w:pPr>
              <w:jc w:val="center"/>
            </w:pPr>
          </w:p>
        </w:tc>
      </w:tr>
      <w:tr w:rsidR="00330DB8" w:rsidRPr="00C90A07" w:rsidTr="00330DB8">
        <w:trPr>
          <w:trHeight w:val="180"/>
        </w:trPr>
        <w:tc>
          <w:tcPr>
            <w:tcW w:w="262" w:type="pct"/>
            <w:tcBorders>
              <w:top w:val="single" w:sz="4" w:space="0" w:color="auto"/>
              <w:bottom w:val="single" w:sz="4" w:space="0" w:color="auto"/>
              <w:right w:val="single" w:sz="4" w:space="0" w:color="auto"/>
            </w:tcBorders>
          </w:tcPr>
          <w:p w:rsidR="00330DB8" w:rsidRPr="00C90A07" w:rsidRDefault="00330DB8" w:rsidP="004F7526"/>
        </w:tc>
        <w:tc>
          <w:tcPr>
            <w:tcW w:w="774" w:type="pct"/>
            <w:tcBorders>
              <w:top w:val="single" w:sz="4" w:space="0" w:color="auto"/>
              <w:left w:val="single" w:sz="4" w:space="0" w:color="auto"/>
              <w:bottom w:val="single" w:sz="4" w:space="0" w:color="auto"/>
              <w:right w:val="single" w:sz="4" w:space="0" w:color="auto"/>
            </w:tcBorders>
          </w:tcPr>
          <w:p w:rsidR="00330DB8" w:rsidRPr="00C90A07" w:rsidRDefault="00330DB8" w:rsidP="004F7526"/>
        </w:tc>
        <w:tc>
          <w:tcPr>
            <w:tcW w:w="77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851"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410"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331"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390" w:type="pct"/>
            <w:tcBorders>
              <w:top w:val="single" w:sz="4" w:space="0" w:color="auto"/>
              <w:left w:val="single" w:sz="4" w:space="0" w:color="auto"/>
              <w:bottom w:val="single" w:sz="4" w:space="0" w:color="auto"/>
            </w:tcBorders>
          </w:tcPr>
          <w:p w:rsidR="00330DB8" w:rsidRPr="00C90A07" w:rsidRDefault="00330DB8" w:rsidP="004F7526">
            <w:pPr>
              <w:jc w:val="center"/>
            </w:pPr>
          </w:p>
        </w:tc>
      </w:tr>
      <w:tr w:rsidR="00330DB8" w:rsidRPr="00C90A07" w:rsidTr="00330DB8">
        <w:trPr>
          <w:trHeight w:val="255"/>
        </w:trPr>
        <w:tc>
          <w:tcPr>
            <w:tcW w:w="262" w:type="pct"/>
            <w:tcBorders>
              <w:top w:val="single" w:sz="4" w:space="0" w:color="auto"/>
              <w:bottom w:val="single" w:sz="4" w:space="0" w:color="auto"/>
              <w:right w:val="single" w:sz="4" w:space="0" w:color="auto"/>
            </w:tcBorders>
          </w:tcPr>
          <w:p w:rsidR="00330DB8" w:rsidRPr="00C90A07" w:rsidRDefault="00330DB8" w:rsidP="004F7526"/>
        </w:tc>
        <w:tc>
          <w:tcPr>
            <w:tcW w:w="774" w:type="pct"/>
            <w:tcBorders>
              <w:top w:val="single" w:sz="4" w:space="0" w:color="auto"/>
              <w:left w:val="single" w:sz="4" w:space="0" w:color="auto"/>
              <w:bottom w:val="single" w:sz="4" w:space="0" w:color="auto"/>
              <w:right w:val="single" w:sz="4" w:space="0" w:color="auto"/>
            </w:tcBorders>
          </w:tcPr>
          <w:p w:rsidR="00330DB8" w:rsidRPr="00C90A07" w:rsidRDefault="00330DB8" w:rsidP="004F7526"/>
        </w:tc>
        <w:tc>
          <w:tcPr>
            <w:tcW w:w="77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851"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410"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331"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390" w:type="pct"/>
            <w:tcBorders>
              <w:top w:val="single" w:sz="4" w:space="0" w:color="auto"/>
              <w:left w:val="single" w:sz="4" w:space="0" w:color="auto"/>
              <w:bottom w:val="single" w:sz="4" w:space="0" w:color="auto"/>
            </w:tcBorders>
          </w:tcPr>
          <w:p w:rsidR="00330DB8" w:rsidRPr="00C90A07" w:rsidRDefault="00330DB8" w:rsidP="004F7526">
            <w:pPr>
              <w:jc w:val="center"/>
            </w:pPr>
          </w:p>
        </w:tc>
      </w:tr>
      <w:tr w:rsidR="00330DB8" w:rsidRPr="00C90A07" w:rsidTr="00330DB8">
        <w:trPr>
          <w:trHeight w:val="360"/>
        </w:trPr>
        <w:tc>
          <w:tcPr>
            <w:tcW w:w="262" w:type="pct"/>
            <w:tcBorders>
              <w:top w:val="single" w:sz="4" w:space="0" w:color="auto"/>
              <w:bottom w:val="single" w:sz="4" w:space="0" w:color="auto"/>
              <w:right w:val="single" w:sz="4" w:space="0" w:color="auto"/>
            </w:tcBorders>
          </w:tcPr>
          <w:p w:rsidR="00330DB8" w:rsidRPr="00C90A07" w:rsidRDefault="00330DB8" w:rsidP="004F7526"/>
        </w:tc>
        <w:tc>
          <w:tcPr>
            <w:tcW w:w="774" w:type="pct"/>
            <w:tcBorders>
              <w:top w:val="single" w:sz="4" w:space="0" w:color="auto"/>
              <w:left w:val="single" w:sz="4" w:space="0" w:color="auto"/>
              <w:bottom w:val="single" w:sz="4" w:space="0" w:color="auto"/>
              <w:right w:val="single" w:sz="4" w:space="0" w:color="auto"/>
            </w:tcBorders>
          </w:tcPr>
          <w:p w:rsidR="00330DB8" w:rsidRPr="00C90A07" w:rsidRDefault="00330DB8" w:rsidP="004F7526"/>
        </w:tc>
        <w:tc>
          <w:tcPr>
            <w:tcW w:w="77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851"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410"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331"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390" w:type="pct"/>
            <w:tcBorders>
              <w:top w:val="single" w:sz="4" w:space="0" w:color="auto"/>
              <w:left w:val="single" w:sz="4" w:space="0" w:color="auto"/>
              <w:bottom w:val="single" w:sz="4" w:space="0" w:color="auto"/>
            </w:tcBorders>
          </w:tcPr>
          <w:p w:rsidR="00330DB8" w:rsidRPr="00C90A07" w:rsidRDefault="00330DB8" w:rsidP="004F7526">
            <w:pPr>
              <w:jc w:val="center"/>
            </w:pPr>
          </w:p>
        </w:tc>
      </w:tr>
      <w:tr w:rsidR="00330DB8" w:rsidRPr="00C90A07" w:rsidTr="00330DB8">
        <w:trPr>
          <w:trHeight w:val="360"/>
        </w:trPr>
        <w:tc>
          <w:tcPr>
            <w:tcW w:w="262" w:type="pct"/>
            <w:tcBorders>
              <w:top w:val="single" w:sz="4" w:space="0" w:color="auto"/>
              <w:bottom w:val="single" w:sz="4" w:space="0" w:color="auto"/>
              <w:right w:val="single" w:sz="4" w:space="0" w:color="auto"/>
            </w:tcBorders>
          </w:tcPr>
          <w:p w:rsidR="00330DB8" w:rsidRPr="00C90A07" w:rsidRDefault="00330DB8" w:rsidP="004F7526"/>
        </w:tc>
        <w:tc>
          <w:tcPr>
            <w:tcW w:w="774" w:type="pct"/>
            <w:tcBorders>
              <w:top w:val="single" w:sz="4" w:space="0" w:color="auto"/>
              <w:left w:val="single" w:sz="4" w:space="0" w:color="auto"/>
              <w:bottom w:val="single" w:sz="4" w:space="0" w:color="auto"/>
              <w:right w:val="single" w:sz="4" w:space="0" w:color="auto"/>
            </w:tcBorders>
          </w:tcPr>
          <w:p w:rsidR="00330DB8" w:rsidRPr="00C90A07" w:rsidRDefault="00330DB8" w:rsidP="004F7526"/>
        </w:tc>
        <w:tc>
          <w:tcPr>
            <w:tcW w:w="77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851"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410"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331"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390" w:type="pct"/>
            <w:tcBorders>
              <w:top w:val="single" w:sz="4" w:space="0" w:color="auto"/>
              <w:left w:val="single" w:sz="4" w:space="0" w:color="auto"/>
              <w:bottom w:val="single" w:sz="4" w:space="0" w:color="auto"/>
            </w:tcBorders>
          </w:tcPr>
          <w:p w:rsidR="00330DB8" w:rsidRPr="00C90A07" w:rsidRDefault="00330DB8" w:rsidP="004F7526">
            <w:pPr>
              <w:jc w:val="center"/>
            </w:pPr>
          </w:p>
        </w:tc>
      </w:tr>
      <w:tr w:rsidR="00330DB8" w:rsidRPr="00C90A07" w:rsidTr="00330DB8">
        <w:trPr>
          <w:trHeight w:val="360"/>
        </w:trPr>
        <w:tc>
          <w:tcPr>
            <w:tcW w:w="262" w:type="pct"/>
            <w:tcBorders>
              <w:top w:val="single" w:sz="4" w:space="0" w:color="auto"/>
              <w:bottom w:val="single" w:sz="4" w:space="0" w:color="auto"/>
              <w:right w:val="single" w:sz="4" w:space="0" w:color="auto"/>
            </w:tcBorders>
          </w:tcPr>
          <w:p w:rsidR="00330DB8" w:rsidRPr="00C90A07" w:rsidRDefault="00330DB8" w:rsidP="004F7526"/>
        </w:tc>
        <w:tc>
          <w:tcPr>
            <w:tcW w:w="774" w:type="pct"/>
            <w:tcBorders>
              <w:top w:val="single" w:sz="4" w:space="0" w:color="auto"/>
              <w:left w:val="single" w:sz="4" w:space="0" w:color="auto"/>
              <w:bottom w:val="single" w:sz="4" w:space="0" w:color="auto"/>
              <w:right w:val="single" w:sz="4" w:space="0" w:color="auto"/>
            </w:tcBorders>
          </w:tcPr>
          <w:p w:rsidR="00330DB8" w:rsidRPr="00C90A07" w:rsidRDefault="00330DB8" w:rsidP="004F7526">
            <w:r w:rsidRPr="00C90A07">
              <w:t>Итого:</w:t>
            </w:r>
          </w:p>
        </w:tc>
        <w:tc>
          <w:tcPr>
            <w:tcW w:w="77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851"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410"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331"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604" w:type="pct"/>
            <w:tcBorders>
              <w:top w:val="single" w:sz="4" w:space="0" w:color="auto"/>
              <w:left w:val="single" w:sz="4" w:space="0" w:color="auto"/>
              <w:bottom w:val="single" w:sz="4" w:space="0" w:color="auto"/>
              <w:right w:val="single" w:sz="4" w:space="0" w:color="auto"/>
            </w:tcBorders>
          </w:tcPr>
          <w:p w:rsidR="00330DB8" w:rsidRPr="00C90A07" w:rsidRDefault="00330DB8" w:rsidP="004F7526">
            <w:pPr>
              <w:jc w:val="center"/>
            </w:pPr>
          </w:p>
        </w:tc>
        <w:tc>
          <w:tcPr>
            <w:tcW w:w="390" w:type="pct"/>
            <w:tcBorders>
              <w:top w:val="single" w:sz="4" w:space="0" w:color="auto"/>
              <w:left w:val="single" w:sz="4" w:space="0" w:color="auto"/>
              <w:bottom w:val="single" w:sz="4" w:space="0" w:color="auto"/>
            </w:tcBorders>
          </w:tcPr>
          <w:p w:rsidR="00330DB8" w:rsidRPr="00C90A07" w:rsidRDefault="00330DB8"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C55141" w:rsidRPr="00267553" w:rsidRDefault="00C55141" w:rsidP="00C55141">
      <w:pPr>
        <w:pStyle w:val="afffd"/>
        <w:spacing w:line="240" w:lineRule="auto"/>
        <w:ind w:left="709"/>
        <w:jc w:val="both"/>
        <w:rPr>
          <w:b w:val="0"/>
          <w:bCs w:val="0"/>
          <w:sz w:val="22"/>
          <w:szCs w:val="22"/>
        </w:rPr>
      </w:pPr>
      <w:r w:rsidRPr="00267553">
        <w:rPr>
          <w:b w:val="0"/>
          <w:bCs w:val="0"/>
          <w:sz w:val="22"/>
          <w:szCs w:val="22"/>
        </w:rPr>
        <w:t>Отслеживание загрузки пакетов в информационную систему ОМС;</w:t>
      </w:r>
    </w:p>
    <w:p w:rsidR="00C55141" w:rsidRPr="00267553" w:rsidRDefault="00C55141" w:rsidP="00C55141">
      <w:pPr>
        <w:pStyle w:val="afffd"/>
        <w:spacing w:line="240" w:lineRule="auto"/>
        <w:ind w:firstLine="708"/>
        <w:jc w:val="both"/>
        <w:rPr>
          <w:b w:val="0"/>
          <w:bCs w:val="0"/>
          <w:sz w:val="22"/>
          <w:szCs w:val="22"/>
        </w:rPr>
      </w:pPr>
      <w:r w:rsidRPr="00267553">
        <w:rPr>
          <w:b w:val="0"/>
          <w:bCs w:val="0"/>
          <w:sz w:val="22"/>
          <w:szCs w:val="22"/>
        </w:rPr>
        <w:t>Просмотр информации о выставленных и принятых счетах;</w:t>
      </w:r>
    </w:p>
    <w:p w:rsidR="00C55141" w:rsidRPr="00267553" w:rsidRDefault="00C55141" w:rsidP="00C55141">
      <w:pPr>
        <w:pStyle w:val="afffd"/>
        <w:spacing w:line="240" w:lineRule="auto"/>
        <w:ind w:firstLine="709"/>
        <w:jc w:val="both"/>
        <w:rPr>
          <w:b w:val="0"/>
          <w:bCs w:val="0"/>
          <w:sz w:val="22"/>
          <w:szCs w:val="22"/>
        </w:rPr>
      </w:pPr>
      <w:r w:rsidRPr="00267553">
        <w:rPr>
          <w:b w:val="0"/>
          <w:bCs w:val="0"/>
          <w:sz w:val="22"/>
          <w:szCs w:val="22"/>
        </w:rPr>
        <w:t>Поиск счета и проверка состояния оплаты;</w:t>
      </w:r>
    </w:p>
    <w:p w:rsidR="00C55141" w:rsidRPr="00267553" w:rsidRDefault="00C55141" w:rsidP="00C55141">
      <w:pPr>
        <w:pStyle w:val="afffd"/>
        <w:spacing w:line="240" w:lineRule="auto"/>
        <w:ind w:firstLine="709"/>
        <w:jc w:val="both"/>
        <w:rPr>
          <w:b w:val="0"/>
          <w:bCs w:val="0"/>
          <w:sz w:val="22"/>
          <w:szCs w:val="22"/>
        </w:rPr>
      </w:pPr>
      <w:r w:rsidRPr="00267553">
        <w:rPr>
          <w:b w:val="0"/>
          <w:bCs w:val="0"/>
          <w:sz w:val="22"/>
          <w:szCs w:val="22"/>
        </w:rPr>
        <w:lastRenderedPageBreak/>
        <w:t>Отслеживание цепочки обмена пакетов;</w:t>
      </w:r>
    </w:p>
    <w:p w:rsidR="00C55141" w:rsidRPr="00267553" w:rsidRDefault="00C55141" w:rsidP="00C55141">
      <w:pPr>
        <w:pStyle w:val="afffd"/>
        <w:spacing w:line="240" w:lineRule="auto"/>
        <w:ind w:firstLine="709"/>
        <w:jc w:val="both"/>
        <w:rPr>
          <w:b w:val="0"/>
          <w:bCs w:val="0"/>
          <w:sz w:val="22"/>
          <w:szCs w:val="22"/>
        </w:rPr>
      </w:pPr>
      <w:r w:rsidRPr="00267553">
        <w:rPr>
          <w:b w:val="0"/>
          <w:bCs w:val="0"/>
          <w:sz w:val="22"/>
          <w:szCs w:val="22"/>
        </w:rPr>
        <w:t>Просмотр информации об ошибках обработки счетов;</w:t>
      </w:r>
    </w:p>
    <w:p w:rsidR="00C55141" w:rsidRPr="00267553" w:rsidRDefault="00C55141" w:rsidP="00C55141">
      <w:pPr>
        <w:pStyle w:val="afffd"/>
        <w:spacing w:line="240" w:lineRule="auto"/>
        <w:ind w:firstLine="709"/>
        <w:jc w:val="both"/>
        <w:rPr>
          <w:b w:val="0"/>
          <w:bCs w:val="0"/>
          <w:sz w:val="22"/>
          <w:szCs w:val="22"/>
        </w:rPr>
      </w:pPr>
      <w:r w:rsidRPr="00267553">
        <w:rPr>
          <w:b w:val="0"/>
          <w:bCs w:val="0"/>
          <w:sz w:val="22"/>
          <w:szCs w:val="22"/>
        </w:rPr>
        <w:t>Построение отчетов об актуальном количестве случаев, услугах и суммах;</w:t>
      </w:r>
    </w:p>
    <w:p w:rsidR="00C55141" w:rsidRPr="00267553" w:rsidRDefault="00C55141" w:rsidP="00C55141">
      <w:pPr>
        <w:pStyle w:val="afffd"/>
        <w:spacing w:line="240" w:lineRule="auto"/>
        <w:ind w:firstLine="709"/>
        <w:jc w:val="both"/>
        <w:rPr>
          <w:b w:val="0"/>
          <w:bCs w:val="0"/>
          <w:sz w:val="22"/>
          <w:szCs w:val="22"/>
        </w:rPr>
      </w:pPr>
      <w:r w:rsidRPr="00267553">
        <w:rPr>
          <w:b w:val="0"/>
          <w:bCs w:val="0"/>
          <w:sz w:val="22"/>
          <w:szCs w:val="22"/>
        </w:rPr>
        <w:t>Построение отчетов по внешним услугам;</w:t>
      </w:r>
    </w:p>
    <w:p w:rsidR="00C55141" w:rsidRPr="00267553" w:rsidRDefault="00C55141" w:rsidP="00C55141">
      <w:pPr>
        <w:pStyle w:val="afffd"/>
        <w:spacing w:line="240" w:lineRule="auto"/>
        <w:ind w:firstLine="709"/>
        <w:jc w:val="both"/>
        <w:rPr>
          <w:b w:val="0"/>
          <w:bCs w:val="0"/>
          <w:sz w:val="22"/>
          <w:szCs w:val="22"/>
        </w:rPr>
      </w:pPr>
      <w:r w:rsidRPr="00267553">
        <w:rPr>
          <w:b w:val="0"/>
          <w:bCs w:val="0"/>
          <w:sz w:val="22"/>
          <w:szCs w:val="22"/>
        </w:rPr>
        <w:t>Поиск застрахованных лиц по заданным критериям;</w:t>
      </w:r>
    </w:p>
    <w:p w:rsidR="00C55141" w:rsidRPr="00267553" w:rsidRDefault="00C55141" w:rsidP="00C55141">
      <w:pPr>
        <w:pStyle w:val="afffd"/>
        <w:spacing w:line="240" w:lineRule="auto"/>
        <w:ind w:firstLine="709"/>
        <w:jc w:val="both"/>
        <w:rPr>
          <w:b w:val="0"/>
          <w:bCs w:val="0"/>
          <w:sz w:val="22"/>
          <w:szCs w:val="22"/>
        </w:rPr>
      </w:pPr>
      <w:r w:rsidRPr="00267553">
        <w:rPr>
          <w:b w:val="0"/>
          <w:bCs w:val="0"/>
          <w:sz w:val="22"/>
          <w:szCs w:val="22"/>
        </w:rPr>
        <w:t>Проверка привязки застрахованных лиц к ЛПУ и страхователю;</w:t>
      </w:r>
    </w:p>
    <w:p w:rsidR="00C55141" w:rsidRPr="00267553" w:rsidRDefault="00C55141" w:rsidP="00C55141">
      <w:pPr>
        <w:pStyle w:val="afffd"/>
        <w:spacing w:line="240" w:lineRule="auto"/>
        <w:ind w:firstLine="709"/>
        <w:jc w:val="both"/>
        <w:rPr>
          <w:b w:val="0"/>
          <w:bCs w:val="0"/>
          <w:sz w:val="22"/>
          <w:szCs w:val="22"/>
        </w:rPr>
      </w:pPr>
      <w:r w:rsidRPr="00267553">
        <w:rPr>
          <w:b w:val="0"/>
          <w:bCs w:val="0"/>
          <w:sz w:val="22"/>
          <w:szCs w:val="22"/>
        </w:rPr>
        <w:t>Получение справочников системы ОМС;</w:t>
      </w:r>
    </w:p>
    <w:p w:rsidR="00C55141" w:rsidRPr="00267553" w:rsidRDefault="00C55141" w:rsidP="00C55141">
      <w:pPr>
        <w:pStyle w:val="afffd"/>
        <w:spacing w:line="240" w:lineRule="auto"/>
        <w:ind w:firstLine="709"/>
        <w:jc w:val="both"/>
        <w:rPr>
          <w:b w:val="0"/>
          <w:bCs w:val="0"/>
          <w:sz w:val="22"/>
          <w:szCs w:val="22"/>
        </w:rPr>
      </w:pPr>
      <w:r w:rsidRPr="00267553">
        <w:rPr>
          <w:b w:val="0"/>
          <w:bCs w:val="0"/>
          <w:sz w:val="22"/>
          <w:szCs w:val="22"/>
        </w:rPr>
        <w:t>Фильтрация, сортировка и многоуровневая группировка данных по любым критериям;</w:t>
      </w:r>
    </w:p>
    <w:p w:rsidR="00C55141" w:rsidRPr="00267553" w:rsidRDefault="00C55141" w:rsidP="00C55141">
      <w:pPr>
        <w:pStyle w:val="afffd"/>
        <w:spacing w:line="240" w:lineRule="auto"/>
        <w:ind w:firstLine="709"/>
        <w:jc w:val="both"/>
        <w:rPr>
          <w:b w:val="0"/>
          <w:bCs w:val="0"/>
          <w:sz w:val="22"/>
          <w:szCs w:val="22"/>
        </w:rPr>
      </w:pPr>
      <w:r w:rsidRPr="00267553">
        <w:rPr>
          <w:b w:val="0"/>
          <w:bCs w:val="0"/>
          <w:sz w:val="22"/>
          <w:szCs w:val="22"/>
        </w:rPr>
        <w:t xml:space="preserve">Экспорт полученных результатов в форматы MS </w:t>
      </w:r>
      <w:proofErr w:type="spellStart"/>
      <w:r w:rsidRPr="00267553">
        <w:rPr>
          <w:b w:val="0"/>
          <w:bCs w:val="0"/>
          <w:sz w:val="22"/>
          <w:szCs w:val="22"/>
        </w:rPr>
        <w:t>Excel</w:t>
      </w:r>
      <w:proofErr w:type="spellEnd"/>
      <w:r w:rsidRPr="00267553">
        <w:rPr>
          <w:b w:val="0"/>
          <w:bCs w:val="0"/>
          <w:sz w:val="22"/>
          <w:szCs w:val="22"/>
        </w:rPr>
        <w:t xml:space="preserve"> и DBF;</w:t>
      </w:r>
    </w:p>
    <w:p w:rsidR="00C55141" w:rsidRDefault="00C55141" w:rsidP="00C55141">
      <w:pPr>
        <w:pStyle w:val="afffd"/>
        <w:shd w:val="clear" w:color="auto" w:fill="auto"/>
        <w:spacing w:line="240" w:lineRule="auto"/>
        <w:ind w:firstLine="709"/>
        <w:jc w:val="both"/>
        <w:rPr>
          <w:b w:val="0"/>
          <w:bCs w:val="0"/>
          <w:sz w:val="22"/>
          <w:szCs w:val="22"/>
        </w:rPr>
      </w:pPr>
      <w:r w:rsidRPr="00267553">
        <w:rPr>
          <w:b w:val="0"/>
          <w:bCs w:val="0"/>
          <w:sz w:val="22"/>
          <w:szCs w:val="22"/>
        </w:rPr>
        <w:t xml:space="preserve">Непосредственное подключение к БД ТФОМС в СУБД ORACLE (без использования программного обеспечения ORACLE </w:t>
      </w:r>
      <w:proofErr w:type="spellStart"/>
      <w:r w:rsidRPr="00267553">
        <w:rPr>
          <w:b w:val="0"/>
          <w:bCs w:val="0"/>
          <w:sz w:val="22"/>
          <w:szCs w:val="22"/>
        </w:rPr>
        <w:t>Client</w:t>
      </w:r>
      <w:proofErr w:type="spellEnd"/>
      <w:r w:rsidRPr="00267553">
        <w:rPr>
          <w:b w:val="0"/>
          <w:bCs w:val="0"/>
          <w:sz w:val="22"/>
          <w:szCs w:val="22"/>
        </w:rPr>
        <w:t xml:space="preserve"> и другого ПО компании ORACLE у Заказчика) по защищенному каналу с использованием программного обеспечения </w:t>
      </w:r>
      <w:proofErr w:type="spellStart"/>
      <w:r w:rsidRPr="00267553">
        <w:rPr>
          <w:b w:val="0"/>
          <w:bCs w:val="0"/>
          <w:sz w:val="22"/>
          <w:szCs w:val="22"/>
        </w:rPr>
        <w:t>ViPNet</w:t>
      </w:r>
      <w:proofErr w:type="spellEnd"/>
      <w:r w:rsidRPr="00267553">
        <w:rPr>
          <w:b w:val="0"/>
          <w:bCs w:val="0"/>
          <w:sz w:val="22"/>
          <w:szCs w:val="22"/>
        </w:rPr>
        <w:t xml:space="preserve"> </w:t>
      </w:r>
      <w:proofErr w:type="spellStart"/>
      <w:r w:rsidRPr="00267553">
        <w:rPr>
          <w:b w:val="0"/>
          <w:bCs w:val="0"/>
          <w:sz w:val="22"/>
          <w:szCs w:val="22"/>
        </w:rPr>
        <w:t>Client</w:t>
      </w:r>
      <w:proofErr w:type="spellEnd"/>
      <w:r w:rsidRPr="00267553">
        <w:rPr>
          <w:b w:val="0"/>
          <w:bCs w:val="0"/>
          <w:sz w:val="22"/>
          <w:szCs w:val="22"/>
        </w:rPr>
        <w:t>.</w:t>
      </w:r>
    </w:p>
    <w:p w:rsidR="00330DB8" w:rsidRDefault="00330DB8" w:rsidP="00330DB8">
      <w:pPr>
        <w:tabs>
          <w:tab w:val="left" w:pos="730"/>
          <w:tab w:val="left" w:pos="9214"/>
        </w:tabs>
        <w:ind w:left="284" w:hanging="284"/>
        <w:jc w:val="both"/>
        <w:rPr>
          <w:bCs/>
          <w:sz w:val="22"/>
          <w:szCs w:val="22"/>
        </w:rPr>
      </w:pPr>
      <w:r w:rsidRPr="00893DD8">
        <w:rPr>
          <w:sz w:val="22"/>
          <w:szCs w:val="22"/>
        </w:rPr>
        <w:t>Привлекаемые специалисты име</w:t>
      </w:r>
      <w:r>
        <w:rPr>
          <w:sz w:val="22"/>
          <w:szCs w:val="22"/>
        </w:rPr>
        <w:t>ют</w:t>
      </w:r>
      <w:r w:rsidRPr="00893DD8">
        <w:rPr>
          <w:sz w:val="22"/>
          <w:szCs w:val="22"/>
        </w:rPr>
        <w:t xml:space="preserve"> необходимые знания и навыки (знания и навыки методов и средств разработки/сопровождения программного обеспечения, опыт разработки/доработки технической документаци</w:t>
      </w:r>
      <w:r>
        <w:rPr>
          <w:sz w:val="22"/>
          <w:szCs w:val="22"/>
        </w:rPr>
        <w:t>и</w:t>
      </w:r>
      <w:r w:rsidRPr="00893DD8">
        <w:rPr>
          <w:sz w:val="22"/>
          <w:szCs w:val="22"/>
        </w:rPr>
        <w:t>, опыт консультирования пользователей), обладать соответствующей квалификацией, иметь соответствующие сертификаты.</w:t>
      </w:r>
    </w:p>
    <w:p w:rsidR="00330DB8" w:rsidRDefault="00330DB8" w:rsidP="00330DB8">
      <w:pPr>
        <w:pStyle w:val="aff2"/>
        <w:ind w:left="284" w:hanging="284"/>
        <w:jc w:val="both"/>
        <w:rPr>
          <w:sz w:val="22"/>
          <w:szCs w:val="22"/>
        </w:rPr>
      </w:pPr>
      <w:r>
        <w:rPr>
          <w:sz w:val="22"/>
          <w:szCs w:val="22"/>
        </w:rPr>
        <w:t>2</w:t>
      </w:r>
      <w:r w:rsidRPr="00893DD8">
        <w:rPr>
          <w:sz w:val="22"/>
          <w:szCs w:val="22"/>
        </w:rPr>
        <w:t>.2. Лицензиар/Сублицензиар име</w:t>
      </w:r>
      <w:r>
        <w:rPr>
          <w:sz w:val="22"/>
          <w:szCs w:val="22"/>
        </w:rPr>
        <w:t>ет</w:t>
      </w:r>
      <w:r w:rsidRPr="00893DD8">
        <w:rPr>
          <w:sz w:val="22"/>
          <w:szCs w:val="22"/>
        </w:rPr>
        <w:t xml:space="preserve"> опыт работы на рынке информационных технологий в области разработки, развития и сопровождения программного продукта не менее 3 лет.</w:t>
      </w:r>
    </w:p>
    <w:p w:rsidR="00330DB8" w:rsidRDefault="00330DB8" w:rsidP="00330DB8">
      <w:pPr>
        <w:tabs>
          <w:tab w:val="left" w:pos="730"/>
          <w:tab w:val="left" w:pos="9214"/>
        </w:tabs>
        <w:ind w:left="284" w:hanging="284"/>
        <w:jc w:val="both"/>
        <w:rPr>
          <w:sz w:val="22"/>
          <w:szCs w:val="22"/>
        </w:rPr>
      </w:pPr>
      <w:r>
        <w:rPr>
          <w:sz w:val="22"/>
          <w:szCs w:val="22"/>
        </w:rPr>
        <w:t xml:space="preserve">2.3. </w:t>
      </w:r>
      <w:r w:rsidRPr="00893DD8">
        <w:rPr>
          <w:sz w:val="22"/>
          <w:szCs w:val="22"/>
        </w:rPr>
        <w:t>«Горячая линия» доступн</w:t>
      </w:r>
      <w:r>
        <w:rPr>
          <w:sz w:val="22"/>
          <w:szCs w:val="22"/>
        </w:rPr>
        <w:t>а</w:t>
      </w:r>
      <w:r w:rsidRPr="00893DD8">
        <w:rPr>
          <w:sz w:val="22"/>
          <w:szCs w:val="22"/>
        </w:rPr>
        <w:t xml:space="preserve"> для получения консультаций: с 8:00 до 17:00.по </w:t>
      </w:r>
      <w:r>
        <w:rPr>
          <w:sz w:val="22"/>
          <w:szCs w:val="22"/>
        </w:rPr>
        <w:t>местному</w:t>
      </w:r>
      <w:r w:rsidRPr="00893DD8">
        <w:rPr>
          <w:sz w:val="22"/>
          <w:szCs w:val="22"/>
        </w:rPr>
        <w:t xml:space="preserve"> времени в рабочие дни, установленные в соответствии с законодательством РФ.</w:t>
      </w:r>
    </w:p>
    <w:p w:rsidR="00330DB8" w:rsidRPr="00330DB8" w:rsidRDefault="00330DB8" w:rsidP="00330DB8">
      <w:pPr>
        <w:pStyle w:val="afffd"/>
        <w:shd w:val="clear" w:color="auto" w:fill="auto"/>
        <w:spacing w:line="240" w:lineRule="auto"/>
        <w:ind w:firstLine="709"/>
        <w:jc w:val="both"/>
        <w:rPr>
          <w:b w:val="0"/>
          <w:bCs w:val="0"/>
          <w:sz w:val="22"/>
          <w:szCs w:val="22"/>
        </w:rPr>
      </w:pPr>
      <w:r w:rsidRPr="00330DB8">
        <w:rPr>
          <w:b w:val="0"/>
          <w:bCs w:val="0"/>
          <w:sz w:val="22"/>
          <w:szCs w:val="22"/>
        </w:rPr>
        <w:t>С целью обеспечения требуемого качества и оперативности в период работы Лицензиар/Сублицензиар обязан предоставить Лицензиату/Сублицензиату для связи номер стационарного телефона («Горячая линия) и адрес электронной почты. Лицензиар/Сублицензиар предостав</w:t>
      </w:r>
      <w:r>
        <w:rPr>
          <w:b w:val="0"/>
          <w:bCs w:val="0"/>
          <w:sz w:val="22"/>
          <w:szCs w:val="22"/>
        </w:rPr>
        <w:t>ляет</w:t>
      </w:r>
      <w:r w:rsidRPr="00330DB8">
        <w:rPr>
          <w:b w:val="0"/>
          <w:bCs w:val="0"/>
          <w:sz w:val="22"/>
          <w:szCs w:val="22"/>
        </w:rPr>
        <w:t xml:space="preserve"> и поддержив</w:t>
      </w:r>
      <w:r>
        <w:rPr>
          <w:b w:val="0"/>
          <w:bCs w:val="0"/>
          <w:sz w:val="22"/>
          <w:szCs w:val="22"/>
        </w:rPr>
        <w:t>ает</w:t>
      </w:r>
      <w:r w:rsidRPr="00330DB8">
        <w:rPr>
          <w:b w:val="0"/>
          <w:bCs w:val="0"/>
          <w:sz w:val="22"/>
          <w:szCs w:val="22"/>
        </w:rPr>
        <w:t xml:space="preserve"> в течение срока оказания услуг два вида связи; при изменении номера телефона/телефонов, Лицензиар/Сублицензиар </w:t>
      </w:r>
      <w:r>
        <w:rPr>
          <w:b w:val="0"/>
          <w:bCs w:val="0"/>
          <w:sz w:val="22"/>
          <w:szCs w:val="22"/>
        </w:rPr>
        <w:t>предоставляет</w:t>
      </w:r>
      <w:r w:rsidRPr="00330DB8">
        <w:rPr>
          <w:b w:val="0"/>
          <w:bCs w:val="0"/>
          <w:sz w:val="22"/>
          <w:szCs w:val="22"/>
        </w:rPr>
        <w:t xml:space="preserve"> Лицензиату/Сублицензиату новые (действующие) координаты для связи не позднее дня отказа от действовавших ранее телефонов/способов связи</w:t>
      </w:r>
    </w:p>
    <w:p w:rsidR="00C55141" w:rsidRDefault="00C55141" w:rsidP="00C55141">
      <w:pPr>
        <w:pStyle w:val="aff2"/>
        <w:ind w:left="0" w:firstLine="426"/>
        <w:jc w:val="both"/>
        <w:rPr>
          <w:sz w:val="22"/>
          <w:szCs w:val="22"/>
        </w:rPr>
      </w:pPr>
      <w:r>
        <w:rPr>
          <w:sz w:val="22"/>
          <w:szCs w:val="22"/>
        </w:rPr>
        <w:t>1.2. Срок действия права получения сервисной и прочей поддержки – ограничен сроком действия договора.</w:t>
      </w:r>
    </w:p>
    <w:p w:rsidR="00313DC0" w:rsidRPr="00C90A07" w:rsidRDefault="00C55141" w:rsidP="00141508">
      <w:pPr>
        <w:pStyle w:val="aff2"/>
        <w:numPr>
          <w:ilvl w:val="0"/>
          <w:numId w:val="1"/>
        </w:numPr>
        <w:tabs>
          <w:tab w:val="clear" w:pos="1069"/>
        </w:tabs>
        <w:ind w:left="426" w:firstLine="0"/>
      </w:pPr>
      <w:r>
        <w:rPr>
          <w:b/>
          <w:bCs/>
        </w:rPr>
        <w:t>Передача права</w:t>
      </w:r>
      <w:r w:rsidR="00313DC0" w:rsidRPr="00141508">
        <w:rPr>
          <w:b/>
          <w:bCs/>
        </w:rPr>
        <w:t>:</w:t>
      </w:r>
      <w:r w:rsidR="00313DC0" w:rsidRPr="00C90A07">
        <w:t xml:space="preserve"> </w:t>
      </w:r>
      <w:r>
        <w:rPr>
          <w:sz w:val="22"/>
          <w:szCs w:val="22"/>
        </w:rPr>
        <w:t>путем отправки ключевой информации через электронную почту в течение (пяти) рабочих дней с момента подписания договора</w:t>
      </w:r>
    </w:p>
    <w:p w:rsidR="00C55141" w:rsidRPr="006645C1" w:rsidRDefault="00C55141" w:rsidP="00C55141">
      <w:pPr>
        <w:pStyle w:val="aff2"/>
        <w:numPr>
          <w:ilvl w:val="0"/>
          <w:numId w:val="1"/>
        </w:numPr>
        <w:tabs>
          <w:tab w:val="clear" w:pos="1069"/>
          <w:tab w:val="num" w:pos="567"/>
        </w:tabs>
        <w:ind w:left="709" w:hanging="283"/>
        <w:contextualSpacing w:val="0"/>
        <w:jc w:val="both"/>
        <w:rPr>
          <w:sz w:val="22"/>
          <w:szCs w:val="22"/>
        </w:rPr>
      </w:pPr>
      <w:r>
        <w:rPr>
          <w:b/>
          <w:bCs/>
          <w:sz w:val="22"/>
          <w:szCs w:val="22"/>
        </w:rPr>
        <w:t>Срок действия лицензий:</w:t>
      </w:r>
      <w:r>
        <w:rPr>
          <w:sz w:val="22"/>
          <w:szCs w:val="22"/>
        </w:rPr>
        <w:t xml:space="preserve"> – 12 месяцев.</w:t>
      </w:r>
    </w:p>
    <w:p w:rsidR="00C55141" w:rsidRPr="006645C1" w:rsidRDefault="00C55141" w:rsidP="00C55141">
      <w:pPr>
        <w:pStyle w:val="aff2"/>
        <w:numPr>
          <w:ilvl w:val="0"/>
          <w:numId w:val="1"/>
        </w:numPr>
        <w:tabs>
          <w:tab w:val="clear" w:pos="1069"/>
          <w:tab w:val="num" w:pos="567"/>
        </w:tabs>
        <w:ind w:left="709" w:hanging="283"/>
        <w:contextualSpacing w:val="0"/>
        <w:jc w:val="both"/>
        <w:rPr>
          <w:sz w:val="22"/>
          <w:szCs w:val="22"/>
        </w:rPr>
      </w:pPr>
      <w:r>
        <w:rPr>
          <w:b/>
          <w:bCs/>
          <w:sz w:val="22"/>
          <w:szCs w:val="22"/>
        </w:rPr>
        <w:t>Срок оказания услуг по технической поддержке:</w:t>
      </w:r>
      <w:r>
        <w:rPr>
          <w:sz w:val="22"/>
          <w:szCs w:val="22"/>
        </w:rPr>
        <w:t xml:space="preserve"> в течение 12 месяцев с момента заключения договора</w:t>
      </w:r>
    </w:p>
    <w:p w:rsidR="00C55141" w:rsidRPr="006645C1" w:rsidRDefault="00C55141" w:rsidP="00C55141">
      <w:pPr>
        <w:pStyle w:val="aff2"/>
        <w:numPr>
          <w:ilvl w:val="0"/>
          <w:numId w:val="1"/>
        </w:numPr>
        <w:tabs>
          <w:tab w:val="clear" w:pos="1069"/>
          <w:tab w:val="left" w:pos="0"/>
          <w:tab w:val="num" w:pos="567"/>
        </w:tabs>
        <w:suppressAutoHyphens/>
        <w:ind w:left="0" w:firstLine="426"/>
        <w:jc w:val="both"/>
        <w:rPr>
          <w:sz w:val="22"/>
          <w:szCs w:val="22"/>
        </w:rPr>
      </w:pPr>
      <w:r>
        <w:rPr>
          <w:b/>
          <w:bCs/>
          <w:sz w:val="22"/>
          <w:szCs w:val="22"/>
        </w:rPr>
        <w:t>Стоимость лицензий должна включать:</w:t>
      </w:r>
      <w:r>
        <w:rPr>
          <w:sz w:val="22"/>
          <w:szCs w:val="22"/>
        </w:rPr>
        <w:t xml:space="preserve">  все расходы Лицензиара/Сублицензиара, которые могут возникнуть в ходе исполнения договора, в том числе: на перевозку, страхование, уплату таможенных пошлин, налогов и других обязательных платежей.</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C55141">
        <w:rPr>
          <w:b/>
          <w:bCs/>
        </w:rPr>
        <w:t>лицензий составляет:</w:t>
      </w:r>
      <w:r w:rsidR="00313DC0" w:rsidRPr="00C90A07">
        <w:t xml:space="preserve"> ________________ составляет: </w:t>
      </w:r>
      <w:r w:rsidR="005674E4">
        <w:t xml:space="preserve">____________ руб. без НДС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___________________</w:t>
      </w:r>
      <w:r w:rsidR="005674E4">
        <w:rPr>
          <w:sz w:val="20"/>
          <w:szCs w:val="20"/>
        </w:rPr>
        <w:t>____________</w:t>
      </w:r>
      <w:r w:rsidRPr="004A7484">
        <w:rPr>
          <w:sz w:val="20"/>
          <w:szCs w:val="20"/>
        </w:rPr>
        <w:t xml:space="preserve">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55141" w:rsidRPr="00C55141" w:rsidRDefault="00C55141" w:rsidP="00C55141">
      <w:pPr>
        <w:pStyle w:val="aff2"/>
        <w:numPr>
          <w:ilvl w:val="0"/>
          <w:numId w:val="1"/>
        </w:numPr>
        <w:tabs>
          <w:tab w:val="clear" w:pos="1069"/>
        </w:tabs>
        <w:ind w:left="0" w:firstLine="426"/>
        <w:jc w:val="both"/>
        <w:rPr>
          <w:sz w:val="22"/>
          <w:szCs w:val="22"/>
        </w:rPr>
      </w:pPr>
      <w:r w:rsidRPr="00C55141">
        <w:rPr>
          <w:b/>
          <w:bCs/>
          <w:sz w:val="22"/>
          <w:szCs w:val="22"/>
        </w:rPr>
        <w:t xml:space="preserve">Срок и условия оплаты: </w:t>
      </w:r>
      <w:r w:rsidRPr="00C55141">
        <w:rPr>
          <w:bCs/>
          <w:sz w:val="22"/>
          <w:szCs w:val="22"/>
        </w:rPr>
        <w:t>о</w:t>
      </w:r>
      <w:r w:rsidRPr="00C55141">
        <w:rPr>
          <w:sz w:val="22"/>
          <w:szCs w:val="22"/>
        </w:rPr>
        <w:t xml:space="preserve">плата производится путем перечисления денежных средств на расчетный счет после принятия лицензий на программное обеспечение в течение 60 (шестьдесят) календарных дней после </w:t>
      </w:r>
      <w:r w:rsidRPr="00C55141">
        <w:rPr>
          <w:bCs/>
          <w:sz w:val="22"/>
          <w:szCs w:val="22"/>
        </w:rPr>
        <w:t>с момента</w:t>
      </w:r>
      <w:r w:rsidRPr="00C55141">
        <w:rPr>
          <w:sz w:val="22"/>
          <w:szCs w:val="22"/>
        </w:rPr>
        <w:t xml:space="preserve"> подписания Сторонами акта приема передачи.</w:t>
      </w:r>
    </w:p>
    <w:p w:rsidR="00313DC0" w:rsidRPr="004A7484" w:rsidRDefault="00313DC0" w:rsidP="00141508">
      <w:pPr>
        <w:ind w:firstLine="426"/>
        <w:rPr>
          <w:sz w:val="22"/>
          <w:szCs w:val="22"/>
          <w:u w:val="single"/>
        </w:rPr>
      </w:pPr>
    </w:p>
    <w:p w:rsidR="00313DC0" w:rsidRPr="004A7484" w:rsidRDefault="00C55141" w:rsidP="00141508">
      <w:pPr>
        <w:ind w:firstLine="426"/>
        <w:rPr>
          <w:b/>
          <w:bCs/>
          <w:sz w:val="22"/>
          <w:szCs w:val="22"/>
        </w:rPr>
      </w:pPr>
      <w:r>
        <w:rPr>
          <w:b/>
          <w:bCs/>
          <w:sz w:val="22"/>
          <w:szCs w:val="22"/>
        </w:rPr>
        <w:t>8</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w:t>
      </w:r>
      <w:r w:rsidR="00A34438">
        <w:rPr>
          <w:rFonts w:ascii="Times New Roman" w:hAnsi="Times New Roman"/>
          <w:sz w:val="22"/>
          <w:szCs w:val="22"/>
        </w:rPr>
        <w:t>предоставление лицензий</w:t>
      </w:r>
      <w:r w:rsidRPr="004A7484">
        <w:rPr>
          <w:rFonts w:ascii="Times New Roman" w:hAnsi="Times New Roman"/>
          <w:sz w:val="22"/>
          <w:szCs w:val="22"/>
        </w:rPr>
        <w:t xml:space="preserve">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xml:space="preserve">, подтверждающие сведения, указанные в анкете, а </w:t>
      </w:r>
      <w:r w:rsidRPr="004A7484">
        <w:rPr>
          <w:rFonts w:ascii="Times New Roman" w:hAnsi="Times New Roman"/>
          <w:sz w:val="22"/>
          <w:szCs w:val="22"/>
        </w:rPr>
        <w:lastRenderedPageBreak/>
        <w:t>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C55141" w:rsidRPr="00C55141" w:rsidRDefault="00725B7C" w:rsidP="00C55141">
      <w:pPr>
        <w:pStyle w:val="a3"/>
        <w:numPr>
          <w:ilvl w:val="0"/>
          <w:numId w:val="2"/>
        </w:numPr>
        <w:suppressAutoHyphens/>
        <w:spacing w:before="0"/>
        <w:jc w:val="both"/>
        <w:rPr>
          <w:sz w:val="22"/>
          <w:szCs w:val="22"/>
        </w:rPr>
      </w:pPr>
      <w:r w:rsidRPr="00725B7C">
        <w:rPr>
          <w:sz w:val="22"/>
          <w:szCs w:val="22"/>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313DC0" w:rsidRPr="00C55141" w:rsidRDefault="00C55141" w:rsidP="00C55141">
      <w:pPr>
        <w:pStyle w:val="a3"/>
        <w:numPr>
          <w:ilvl w:val="0"/>
          <w:numId w:val="2"/>
        </w:numPr>
        <w:spacing w:before="0"/>
        <w:jc w:val="both"/>
        <w:rPr>
          <w:sz w:val="22"/>
          <w:szCs w:val="22"/>
        </w:rPr>
      </w:pPr>
      <w:r>
        <w:rPr>
          <w:sz w:val="22"/>
          <w:szCs w:val="22"/>
        </w:rPr>
        <w:t>документ,</w:t>
      </w:r>
      <w:r w:rsidRPr="00BB2059">
        <w:rPr>
          <w:sz w:val="22"/>
          <w:szCs w:val="22"/>
        </w:rPr>
        <w:t xml:space="preserve"> </w:t>
      </w:r>
      <w:proofErr w:type="gramStart"/>
      <w:r w:rsidRPr="00BB2059">
        <w:rPr>
          <w:sz w:val="22"/>
          <w:szCs w:val="22"/>
        </w:rPr>
        <w:t>подтвержда</w:t>
      </w:r>
      <w:r>
        <w:rPr>
          <w:sz w:val="22"/>
          <w:szCs w:val="22"/>
        </w:rPr>
        <w:t>ющий</w:t>
      </w:r>
      <w:proofErr w:type="gramEnd"/>
      <w:r w:rsidRPr="00BB2059">
        <w:rPr>
          <w:sz w:val="22"/>
          <w:szCs w:val="22"/>
        </w:rPr>
        <w:t xml:space="preserve"> что </w:t>
      </w:r>
      <w:r>
        <w:rPr>
          <w:sz w:val="22"/>
          <w:szCs w:val="22"/>
        </w:rPr>
        <w:t>Участник</w:t>
      </w:r>
      <w:r w:rsidRPr="00BB2059">
        <w:rPr>
          <w:sz w:val="22"/>
          <w:szCs w:val="22"/>
        </w:rPr>
        <w:t xml:space="preserve"> </w:t>
      </w:r>
      <w:r>
        <w:rPr>
          <w:sz w:val="22"/>
          <w:szCs w:val="22"/>
        </w:rPr>
        <w:t>имеет</w:t>
      </w:r>
      <w:r w:rsidRPr="00BB2059">
        <w:rPr>
          <w:sz w:val="22"/>
          <w:szCs w:val="22"/>
        </w:rPr>
        <w:t xml:space="preserve"> соответствующи</w:t>
      </w:r>
      <w:r>
        <w:rPr>
          <w:sz w:val="22"/>
          <w:szCs w:val="22"/>
        </w:rPr>
        <w:t>е</w:t>
      </w:r>
      <w:r w:rsidRPr="00BB2059">
        <w:rPr>
          <w:sz w:val="22"/>
          <w:szCs w:val="22"/>
        </w:rPr>
        <w:t xml:space="preserve"> документ</w:t>
      </w:r>
      <w:r>
        <w:rPr>
          <w:sz w:val="22"/>
          <w:szCs w:val="22"/>
        </w:rPr>
        <w:t>ы</w:t>
      </w:r>
      <w:r w:rsidRPr="00BB2059">
        <w:rPr>
          <w:sz w:val="22"/>
          <w:szCs w:val="22"/>
        </w:rPr>
        <w:t xml:space="preserve"> (лицензионный договор, сертификат), действует в соответствии с полномочиями, предоставленными ему Правообладателем, которому принадлежат исключительные права на программны</w:t>
      </w:r>
      <w:r>
        <w:rPr>
          <w:sz w:val="22"/>
          <w:szCs w:val="22"/>
        </w:rPr>
        <w:t>й</w:t>
      </w:r>
      <w:r w:rsidRPr="00BB2059">
        <w:rPr>
          <w:sz w:val="22"/>
          <w:szCs w:val="22"/>
        </w:rPr>
        <w:t xml:space="preserve"> продукт. А также является законным обладателем права на распространение, установку, сопровождени</w:t>
      </w:r>
      <w:r>
        <w:rPr>
          <w:sz w:val="22"/>
          <w:szCs w:val="22"/>
        </w:rPr>
        <w:t>е</w:t>
      </w:r>
      <w:r w:rsidRPr="00BB2059">
        <w:rPr>
          <w:sz w:val="22"/>
          <w:szCs w:val="22"/>
        </w:rPr>
        <w:t xml:space="preserve"> программн</w:t>
      </w:r>
      <w:r>
        <w:rPr>
          <w:sz w:val="22"/>
          <w:szCs w:val="22"/>
        </w:rPr>
        <w:t>ого</w:t>
      </w:r>
      <w:r w:rsidRPr="00BB2059">
        <w:rPr>
          <w:sz w:val="22"/>
          <w:szCs w:val="22"/>
        </w:rPr>
        <w:t xml:space="preserve"> продукт</w:t>
      </w:r>
      <w:r>
        <w:rPr>
          <w:sz w:val="22"/>
          <w:szCs w:val="22"/>
        </w:rPr>
        <w:t>а и услуг технической поддержке</w:t>
      </w:r>
      <w:r>
        <w:rPr>
          <w:iCs/>
          <w:sz w:val="22"/>
          <w:szCs w:val="22"/>
        </w:rPr>
        <w:t>.</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 xml:space="preserve">задолженности по иным обязательным платежам в бюджеты бюджетной </w:t>
      </w:r>
      <w:r w:rsidRPr="004A7484">
        <w:rPr>
          <w:sz w:val="22"/>
          <w:szCs w:val="22"/>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0E0309" w:rsidRPr="00B37830">
          <w:rPr>
            <w:sz w:val="22"/>
            <w:szCs w:val="22"/>
          </w:rPr>
          <w:t>статьей 5</w:t>
        </w:r>
      </w:hyperlink>
      <w:r w:rsidR="000E0309" w:rsidRPr="00B37830">
        <w:rPr>
          <w:sz w:val="22"/>
          <w:szCs w:val="22"/>
        </w:rPr>
        <w:t xml:space="preserve"> Федерального закона «О закупках товаров, работ, услуг отдельными видами юридических лиц»</w:t>
      </w:r>
      <w:bookmarkStart w:id="0" w:name="dst100005"/>
      <w:bookmarkEnd w:id="0"/>
      <w:r w:rsidR="000E0309" w:rsidRPr="00B37830">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8D5A7D" w:rsidRPr="008D5A7D" w:rsidRDefault="008D5A7D" w:rsidP="00C362A2">
      <w:pPr>
        <w:rPr>
          <w:b/>
        </w:rPr>
      </w:pPr>
    </w:p>
    <w:sectPr w:rsidR="008D5A7D" w:rsidRPr="008D5A7D"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9F1" w:rsidRDefault="002749F1">
      <w:r>
        <w:separator/>
      </w:r>
    </w:p>
  </w:endnote>
  <w:endnote w:type="continuationSeparator" w:id="0">
    <w:p w:rsidR="002749F1" w:rsidRDefault="00274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2823A8">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2823A8">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520FD3">
      <w:rPr>
        <w:rStyle w:val="ae"/>
        <w:noProof/>
      </w:rPr>
      <w:t>4</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9F1" w:rsidRDefault="002749F1">
      <w:r>
        <w:separator/>
      </w:r>
    </w:p>
  </w:footnote>
  <w:footnote w:type="continuationSeparator" w:id="0">
    <w:p w:rsidR="002749F1" w:rsidRDefault="00274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54F81"/>
    <w:multiLevelType w:val="hybridMultilevel"/>
    <w:tmpl w:val="B9A442BE"/>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3">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8">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6">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9">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6"/>
  </w:num>
  <w:num w:numId="3">
    <w:abstractNumId w:val="45"/>
  </w:num>
  <w:num w:numId="4">
    <w:abstractNumId w:val="17"/>
  </w:num>
  <w:num w:numId="5">
    <w:abstractNumId w:val="0"/>
  </w:num>
  <w:num w:numId="6">
    <w:abstractNumId w:val="32"/>
  </w:num>
  <w:num w:numId="7">
    <w:abstractNumId w:val="33"/>
  </w:num>
  <w:num w:numId="8">
    <w:abstractNumId w:val="34"/>
  </w:num>
  <w:num w:numId="9">
    <w:abstractNumId w:val="37"/>
  </w:num>
  <w:num w:numId="10">
    <w:abstractNumId w:val="41"/>
  </w:num>
  <w:num w:numId="11">
    <w:abstractNumId w:val="29"/>
  </w:num>
  <w:num w:numId="12">
    <w:abstractNumId w:val="44"/>
  </w:num>
  <w:num w:numId="13">
    <w:abstractNumId w:val="4"/>
  </w:num>
  <w:num w:numId="14">
    <w:abstractNumId w:val="27"/>
  </w:num>
  <w:num w:numId="15">
    <w:abstractNumId w:val="28"/>
  </w:num>
  <w:num w:numId="16">
    <w:abstractNumId w:val="20"/>
  </w:num>
  <w:num w:numId="17">
    <w:abstractNumId w:val="39"/>
  </w:num>
  <w:num w:numId="18">
    <w:abstractNumId w:val="23"/>
  </w:num>
  <w:num w:numId="19">
    <w:abstractNumId w:val="48"/>
  </w:num>
  <w:num w:numId="20">
    <w:abstractNumId w:val="13"/>
  </w:num>
  <w:num w:numId="21">
    <w:abstractNumId w:val="52"/>
  </w:num>
  <w:num w:numId="22">
    <w:abstractNumId w:val="40"/>
  </w:num>
  <w:num w:numId="23">
    <w:abstractNumId w:val="26"/>
  </w:num>
  <w:num w:numId="24">
    <w:abstractNumId w:val="51"/>
  </w:num>
  <w:num w:numId="25">
    <w:abstractNumId w:val="18"/>
  </w:num>
  <w:num w:numId="26">
    <w:abstractNumId w:val="5"/>
  </w:num>
  <w:num w:numId="27">
    <w:abstractNumId w:val="15"/>
  </w:num>
  <w:num w:numId="28">
    <w:abstractNumId w:val="35"/>
  </w:num>
  <w:num w:numId="29">
    <w:abstractNumId w:val="16"/>
  </w:num>
  <w:num w:numId="30">
    <w:abstractNumId w:val="30"/>
  </w:num>
  <w:num w:numId="31">
    <w:abstractNumId w:val="43"/>
  </w:num>
  <w:num w:numId="32">
    <w:abstractNumId w:val="22"/>
  </w:num>
  <w:num w:numId="33">
    <w:abstractNumId w:val="12"/>
  </w:num>
  <w:num w:numId="34">
    <w:abstractNumId w:val="10"/>
  </w:num>
  <w:num w:numId="35">
    <w:abstractNumId w:val="42"/>
  </w:num>
  <w:num w:numId="36">
    <w:abstractNumId w:val="1"/>
  </w:num>
  <w:num w:numId="37">
    <w:abstractNumId w:val="49"/>
  </w:num>
  <w:num w:numId="38">
    <w:abstractNumId w:val="47"/>
  </w:num>
  <w:num w:numId="39">
    <w:abstractNumId w:val="21"/>
  </w:num>
  <w:num w:numId="40">
    <w:abstractNumId w:val="6"/>
  </w:num>
  <w:num w:numId="41">
    <w:abstractNumId w:val="7"/>
  </w:num>
  <w:num w:numId="42">
    <w:abstractNumId w:val="24"/>
  </w:num>
  <w:num w:numId="43">
    <w:abstractNumId w:val="36"/>
  </w:num>
  <w:num w:numId="44">
    <w:abstractNumId w:val="50"/>
  </w:num>
  <w:num w:numId="45">
    <w:abstractNumId w:val="8"/>
  </w:num>
  <w:num w:numId="46">
    <w:abstractNumId w:val="31"/>
  </w:num>
  <w:num w:numId="47">
    <w:abstractNumId w:val="3"/>
  </w:num>
  <w:num w:numId="48">
    <w:abstractNumId w:val="2"/>
  </w:num>
  <w:num w:numId="49">
    <w:abstractNumId w:val="25"/>
  </w:num>
  <w:num w:numId="50">
    <w:abstractNumId w:val="19"/>
  </w:num>
  <w:num w:numId="51">
    <w:abstractNumId w:val="14"/>
  </w:num>
  <w:num w:numId="52">
    <w:abstractNumId w:val="38"/>
  </w:num>
  <w:num w:numId="53">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9634"/>
  </w:hdrShapeDefaults>
  <w:footnotePr>
    <w:footnote w:id="-1"/>
    <w:footnote w:id="0"/>
  </w:footnotePr>
  <w:endnotePr>
    <w:endnote w:id="-1"/>
    <w:endnote w:id="0"/>
  </w:endnotePr>
  <w:compat/>
  <w:rsids>
    <w:rsidRoot w:val="00052BB3"/>
    <w:rsid w:val="00002505"/>
    <w:rsid w:val="00012E2A"/>
    <w:rsid w:val="00014E9D"/>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093"/>
    <w:rsid w:val="000A3844"/>
    <w:rsid w:val="000A5F75"/>
    <w:rsid w:val="000B3176"/>
    <w:rsid w:val="000B5303"/>
    <w:rsid w:val="000C482A"/>
    <w:rsid w:val="000D2B7F"/>
    <w:rsid w:val="000D600B"/>
    <w:rsid w:val="000D65B9"/>
    <w:rsid w:val="000E0309"/>
    <w:rsid w:val="000E20D4"/>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4798E"/>
    <w:rsid w:val="00251C2A"/>
    <w:rsid w:val="00257C5B"/>
    <w:rsid w:val="00267108"/>
    <w:rsid w:val="002672A4"/>
    <w:rsid w:val="0027105E"/>
    <w:rsid w:val="002749F1"/>
    <w:rsid w:val="0027583A"/>
    <w:rsid w:val="00275F38"/>
    <w:rsid w:val="002823A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244ED"/>
    <w:rsid w:val="00330DB8"/>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3AE1"/>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0840"/>
    <w:rsid w:val="004F55E5"/>
    <w:rsid w:val="004F5D07"/>
    <w:rsid w:val="004F7526"/>
    <w:rsid w:val="00502F6B"/>
    <w:rsid w:val="005030CB"/>
    <w:rsid w:val="005032AE"/>
    <w:rsid w:val="00505086"/>
    <w:rsid w:val="00510BC3"/>
    <w:rsid w:val="00516D40"/>
    <w:rsid w:val="00520FD3"/>
    <w:rsid w:val="00537B97"/>
    <w:rsid w:val="00542CCD"/>
    <w:rsid w:val="00555C27"/>
    <w:rsid w:val="0056434F"/>
    <w:rsid w:val="00566578"/>
    <w:rsid w:val="005674E4"/>
    <w:rsid w:val="00567B00"/>
    <w:rsid w:val="00572FE8"/>
    <w:rsid w:val="00574162"/>
    <w:rsid w:val="00575973"/>
    <w:rsid w:val="00577AAD"/>
    <w:rsid w:val="00584E98"/>
    <w:rsid w:val="00587598"/>
    <w:rsid w:val="00594B8D"/>
    <w:rsid w:val="00594DF8"/>
    <w:rsid w:val="00596D6A"/>
    <w:rsid w:val="00597CBF"/>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1AC"/>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5B7C"/>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7F95"/>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0D77"/>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91AA3"/>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4438"/>
    <w:rsid w:val="00A355E3"/>
    <w:rsid w:val="00A36D31"/>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319E"/>
    <w:rsid w:val="00BC39DF"/>
    <w:rsid w:val="00BC411F"/>
    <w:rsid w:val="00BC45CF"/>
    <w:rsid w:val="00BC4A1C"/>
    <w:rsid w:val="00BC4F78"/>
    <w:rsid w:val="00BC5729"/>
    <w:rsid w:val="00BE12FC"/>
    <w:rsid w:val="00BE13AB"/>
    <w:rsid w:val="00BE4360"/>
    <w:rsid w:val="00BE4365"/>
    <w:rsid w:val="00BE7F83"/>
    <w:rsid w:val="00BF063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62A2"/>
    <w:rsid w:val="00C374B4"/>
    <w:rsid w:val="00C401C3"/>
    <w:rsid w:val="00C40BE6"/>
    <w:rsid w:val="00C421DD"/>
    <w:rsid w:val="00C42923"/>
    <w:rsid w:val="00C459D6"/>
    <w:rsid w:val="00C5059C"/>
    <w:rsid w:val="00C522CD"/>
    <w:rsid w:val="00C5259A"/>
    <w:rsid w:val="00C55141"/>
    <w:rsid w:val="00C671B8"/>
    <w:rsid w:val="00C676D5"/>
    <w:rsid w:val="00C7385B"/>
    <w:rsid w:val="00C77648"/>
    <w:rsid w:val="00C80C88"/>
    <w:rsid w:val="00C810E2"/>
    <w:rsid w:val="00C84EBE"/>
    <w:rsid w:val="00C8581F"/>
    <w:rsid w:val="00C87D30"/>
    <w:rsid w:val="00C90A07"/>
    <w:rsid w:val="00C91074"/>
    <w:rsid w:val="00C94A73"/>
    <w:rsid w:val="00CA36F8"/>
    <w:rsid w:val="00CA7D57"/>
    <w:rsid w:val="00CB052F"/>
    <w:rsid w:val="00CB5A13"/>
    <w:rsid w:val="00CC1536"/>
    <w:rsid w:val="00CC164B"/>
    <w:rsid w:val="00CC53BA"/>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A7B1A"/>
    <w:rsid w:val="00DB1638"/>
    <w:rsid w:val="00DB1E59"/>
    <w:rsid w:val="00DB5D20"/>
    <w:rsid w:val="00DC3972"/>
    <w:rsid w:val="00DD1DE1"/>
    <w:rsid w:val="00DE33DE"/>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034F"/>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27D55"/>
    <w:rsid w:val="00F365AC"/>
    <w:rsid w:val="00F4088E"/>
    <w:rsid w:val="00F43EE2"/>
    <w:rsid w:val="00F46CE0"/>
    <w:rsid w:val="00F53C94"/>
    <w:rsid w:val="00F57832"/>
    <w:rsid w:val="00F64756"/>
    <w:rsid w:val="00F64B2B"/>
    <w:rsid w:val="00F65843"/>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character" w:customStyle="1" w:styleId="1f6">
    <w:name w:val="Абзац списка Знак1"/>
    <w:aliases w:val="Маркер Знак1,Абзац списка1 Знак1,название Знак1,Абзац списка3 Знак1,Bullet List Знак1,FooterText Знак1,numbered Знак1,SL_Абзац списка Знак1,Bullet Number Знак1,Нумерованый список Знак1,List Paragraph1 Знак1,lp1 Знак1,f_Абзац 1 Знак"/>
    <w:uiPriority w:val="99"/>
    <w:locked/>
    <w:rsid w:val="00C55141"/>
    <w:rPr>
      <w:sz w:val="24"/>
      <w:szCs w:val="24"/>
    </w:rPr>
  </w:style>
  <w:style w:type="character" w:customStyle="1" w:styleId="afffc">
    <w:name w:val="Подпись к таблице_"/>
    <w:basedOn w:val="a0"/>
    <w:link w:val="afffd"/>
    <w:rsid w:val="00C55141"/>
    <w:rPr>
      <w:b/>
      <w:bCs/>
      <w:shd w:val="clear" w:color="auto" w:fill="FFFFFF"/>
    </w:rPr>
  </w:style>
  <w:style w:type="paragraph" w:customStyle="1" w:styleId="afffd">
    <w:name w:val="Подпись к таблице"/>
    <w:basedOn w:val="a"/>
    <w:link w:val="afffc"/>
    <w:rsid w:val="00C55141"/>
    <w:pPr>
      <w:widowControl w:val="0"/>
      <w:shd w:val="clear" w:color="auto" w:fill="FFFFFF"/>
      <w:spacing w:line="0" w:lineRule="atLeast"/>
    </w:pPr>
    <w:rPr>
      <w:b/>
      <w:bCs/>
      <w:sz w:val="20"/>
      <w:szCs w:val="20"/>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D3BC28-A3CD-4200-98D8-605025AD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14316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8</cp:revision>
  <cp:lastPrinted>2021-02-04T12:32:00Z</cp:lastPrinted>
  <dcterms:created xsi:type="dcterms:W3CDTF">2021-12-02T09:25:00Z</dcterms:created>
  <dcterms:modified xsi:type="dcterms:W3CDTF">2021-12-17T10:52:00Z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